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>Installation Instructions</w:t>
      </w:r>
    </w:p>
    <w:p>
      <w:pPr>
        <w:pStyle w:val="Normal.0"/>
        <w:rPr>
          <w:lang w:val="zh-TW" w:eastAsia="zh-TW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1. USB Data Loggers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1) Models: TemLog20, TemLog20H, RC-51, RC-51H, Loget6, loget8f, loget8s, RC-5+, RC-18, RC-19, MSL-51, MSL-51H, TemLogST5</w:t>
      </w:r>
    </w:p>
    <w:p>
      <w:pPr>
        <w:pStyle w:val="Normal.0"/>
      </w:pPr>
      <w:r>
        <w:rPr>
          <w:rtl w:val="0"/>
          <w:lang w:val="en-US"/>
        </w:rPr>
        <w:t xml:space="preserve"> 2) The software runs after the data logger is connected to a computer.</w:t>
      </w:r>
      <w:r>
        <w:rPr>
          <w:rtl w:val="0"/>
          <w:lang w:val="it-IT"/>
        </w:rPr>
        <w:t xml:space="preserve"> </w:t>
      </w:r>
      <w:r>
        <w:rPr>
          <w:rtl w:val="0"/>
          <w:lang w:val="en-US"/>
        </w:rPr>
        <w:t>Data can be transmitted between the software and the data logger.</w: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2. COM Data Loggers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1) Models: RC-4, RC-4HA, RC-4HC, RC-5, RC-61, GSP-6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A driver is required to be installed for data transmission.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2) For models RC-4/HA/HC, the file "Silicon Labs VCP Driver Installer" in the folder "driver/RC-4" is required to be installed.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3) For models RC-5, RC-61, GSP-6, the file "CH34x_Install_V1.4" in the folder "driver/RC-5/RC-6/GSP-6" is required to be installed.</w: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4. After setup completed, restart the computer and run ElitechLog in the installation file.</w: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3. The computer system version must be 10.10 and above.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If the system version is below 10.10, please update it first. Repeat above operation for installation.</w:t>
      </w:r>
    </w:p>
    <w:p>
      <w:pPr>
        <w:pStyle w:val="Normal.0"/>
      </w:pPr>
      <w:r>
        <w:rPr>
          <w:rtl w:val="0"/>
          <w:lang w:val="en-US"/>
        </w:rPr>
        <w:t xml:space="preserve">  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